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B5" w:rsidRPr="00EE3778" w:rsidRDefault="00EE3778">
      <w:pPr>
        <w:rPr>
          <w:rFonts w:ascii="Times New Roman" w:hAnsi="Times New Roman"/>
          <w:b/>
          <w:szCs w:val="24"/>
        </w:rPr>
      </w:pPr>
      <w:r w:rsidRPr="00EE3778">
        <w:rPr>
          <w:rFonts w:ascii="Times New Roman" w:hAnsi="Times New Roman"/>
          <w:b/>
          <w:szCs w:val="24"/>
        </w:rPr>
        <w:t>ASSESSMENT OF VIABILITY IN PATIENTS WITH CHRONIC TOTAL OCCLUSIONS: A CARDIAC MAGNETIC RESONANCE STUDY</w:t>
      </w:r>
    </w:p>
    <w:p w:rsidR="00EE3778" w:rsidRDefault="00EE3778" w:rsidP="00EE3778">
      <w:pPr>
        <w:rPr>
          <w:rFonts w:ascii="Times New Roman" w:hAnsi="Times New Roman"/>
          <w:bCs/>
          <w:szCs w:val="24"/>
        </w:rPr>
      </w:pPr>
      <w:r w:rsidRPr="00EE3778">
        <w:rPr>
          <w:rFonts w:ascii="Times New Roman" w:hAnsi="Times New Roman"/>
          <w:b/>
          <w:szCs w:val="24"/>
          <w:u w:val="single"/>
        </w:rPr>
        <w:t>D.J. Shah</w:t>
      </w:r>
      <w:r>
        <w:rPr>
          <w:rFonts w:ascii="Times New Roman" w:hAnsi="Times New Roman"/>
          <w:bCs/>
          <w:szCs w:val="24"/>
        </w:rPr>
        <w:t>, H.W. Kim</w:t>
      </w:r>
      <w:r w:rsidRPr="00EE3778">
        <w:rPr>
          <w:rFonts w:ascii="Times New Roman" w:hAnsi="Times New Roman"/>
          <w:bCs/>
          <w:szCs w:val="24"/>
        </w:rPr>
        <w:t xml:space="preserve">, </w:t>
      </w:r>
      <w:r>
        <w:rPr>
          <w:rFonts w:ascii="Times New Roman" w:hAnsi="Times New Roman"/>
          <w:bCs/>
          <w:szCs w:val="24"/>
        </w:rPr>
        <w:t>R.J. Kim</w:t>
      </w:r>
      <w:r w:rsidRPr="00EE3778">
        <w:rPr>
          <w:rFonts w:ascii="Times New Roman" w:hAnsi="Times New Roman"/>
          <w:bCs/>
          <w:szCs w:val="24"/>
        </w:rPr>
        <w:t xml:space="preserve">  </w:t>
      </w:r>
    </w:p>
    <w:p w:rsidR="002124B5" w:rsidRPr="00EE3778" w:rsidRDefault="00EE3778" w:rsidP="00EE3778">
      <w:pPr>
        <w:rPr>
          <w:rFonts w:ascii="Times New Roman" w:hAnsi="Times New Roman"/>
          <w:bCs/>
          <w:szCs w:val="24"/>
        </w:rPr>
      </w:pPr>
      <w:r>
        <w:rPr>
          <w:rFonts w:ascii="Times New Roman" w:hAnsi="Times New Roman"/>
          <w:bCs/>
          <w:szCs w:val="24"/>
        </w:rPr>
        <w:t xml:space="preserve">Methodist </w:t>
      </w:r>
      <w:proofErr w:type="spellStart"/>
      <w:r>
        <w:rPr>
          <w:rFonts w:ascii="Times New Roman" w:hAnsi="Times New Roman"/>
          <w:bCs/>
          <w:szCs w:val="24"/>
        </w:rPr>
        <w:t>Debakey</w:t>
      </w:r>
      <w:proofErr w:type="spellEnd"/>
      <w:r>
        <w:rPr>
          <w:rFonts w:ascii="Times New Roman" w:hAnsi="Times New Roman"/>
          <w:bCs/>
          <w:szCs w:val="24"/>
        </w:rPr>
        <w:t xml:space="preserve"> H</w:t>
      </w:r>
      <w:r w:rsidRPr="00EE3778">
        <w:rPr>
          <w:rFonts w:ascii="Times New Roman" w:hAnsi="Times New Roman"/>
          <w:bCs/>
          <w:szCs w:val="24"/>
        </w:rPr>
        <w:t>ear</w:t>
      </w:r>
      <w:r>
        <w:rPr>
          <w:rFonts w:ascii="Times New Roman" w:hAnsi="Times New Roman"/>
          <w:bCs/>
          <w:szCs w:val="24"/>
        </w:rPr>
        <w:t>t &amp; Vascular Center, Houston, TX and Duke Cardiovascular Magnetic Resonance Center, D</w:t>
      </w:r>
      <w:r w:rsidRPr="00EE3778">
        <w:rPr>
          <w:rFonts w:ascii="Times New Roman" w:hAnsi="Times New Roman"/>
          <w:bCs/>
          <w:szCs w:val="24"/>
        </w:rPr>
        <w:t xml:space="preserve">urham, </w:t>
      </w:r>
      <w:r>
        <w:rPr>
          <w:rFonts w:ascii="Times New Roman" w:hAnsi="Times New Roman"/>
          <w:bCs/>
          <w:szCs w:val="24"/>
        </w:rPr>
        <w:t>NC, USA</w:t>
      </w:r>
      <w:bookmarkStart w:id="0" w:name="_GoBack"/>
      <w:bookmarkEnd w:id="0"/>
    </w:p>
    <w:p w:rsidR="00680A68" w:rsidRPr="00EE3778" w:rsidRDefault="00680A68">
      <w:pPr>
        <w:rPr>
          <w:rFonts w:ascii="Times New Roman" w:hAnsi="Times New Roman"/>
          <w:b/>
          <w:szCs w:val="24"/>
        </w:rPr>
      </w:pPr>
    </w:p>
    <w:p w:rsidR="00680A68" w:rsidRPr="00EE3778" w:rsidRDefault="00EE3778" w:rsidP="00EE3778">
      <w:pPr>
        <w:jc w:val="both"/>
        <w:rPr>
          <w:rFonts w:ascii="Times New Roman" w:hAnsi="Times New Roman"/>
          <w:szCs w:val="24"/>
        </w:rPr>
      </w:pPr>
      <w:r w:rsidRPr="00EE3778">
        <w:rPr>
          <w:rFonts w:ascii="Times New Roman" w:hAnsi="Times New Roman"/>
          <w:bCs/>
          <w:szCs w:val="24"/>
        </w:rPr>
        <w:t>Background</w:t>
      </w:r>
      <w:r w:rsidR="002124B5" w:rsidRPr="00EE3778">
        <w:rPr>
          <w:rFonts w:ascii="Times New Roman" w:hAnsi="Times New Roman"/>
          <w:bCs/>
          <w:szCs w:val="24"/>
        </w:rPr>
        <w:t>:</w:t>
      </w:r>
      <w:r w:rsidR="002124B5" w:rsidRPr="00EE3778">
        <w:rPr>
          <w:rFonts w:ascii="Times New Roman" w:hAnsi="Times New Roman"/>
          <w:b/>
          <w:szCs w:val="24"/>
        </w:rPr>
        <w:t xml:space="preserve">  </w:t>
      </w:r>
      <w:r w:rsidR="002124B5" w:rsidRPr="00EE3778">
        <w:rPr>
          <w:rFonts w:ascii="Times New Roman" w:hAnsi="Times New Roman"/>
          <w:szCs w:val="24"/>
        </w:rPr>
        <w:t xml:space="preserve">Conventional thinking has been that patients (pts) with chronic total occlusions (CTO) do not have significant myocardial viability and may not </w:t>
      </w:r>
      <w:r w:rsidR="00680A68" w:rsidRPr="00EE3778">
        <w:rPr>
          <w:rFonts w:ascii="Times New Roman" w:hAnsi="Times New Roman"/>
          <w:szCs w:val="24"/>
        </w:rPr>
        <w:t>improve contractility with r</w:t>
      </w:r>
      <w:r w:rsidR="002124B5" w:rsidRPr="00EE3778">
        <w:rPr>
          <w:rFonts w:ascii="Times New Roman" w:hAnsi="Times New Roman"/>
          <w:szCs w:val="24"/>
        </w:rPr>
        <w:t>evascularizat</w:t>
      </w:r>
      <w:r w:rsidR="00680A68" w:rsidRPr="00EE3778">
        <w:rPr>
          <w:rFonts w:ascii="Times New Roman" w:hAnsi="Times New Roman"/>
          <w:szCs w:val="24"/>
        </w:rPr>
        <w:t>ion.  Delayed enhancement (DE-) CMR</w:t>
      </w:r>
      <w:r w:rsidR="002124B5" w:rsidRPr="00EE3778">
        <w:rPr>
          <w:rFonts w:ascii="Times New Roman" w:hAnsi="Times New Roman"/>
          <w:szCs w:val="24"/>
        </w:rPr>
        <w:t xml:space="preserve"> can assess viability with high</w:t>
      </w:r>
      <w:r w:rsidR="00680A68" w:rsidRPr="00EE3778">
        <w:rPr>
          <w:rFonts w:ascii="Times New Roman" w:hAnsi="Times New Roman"/>
          <w:szCs w:val="24"/>
        </w:rPr>
        <w:t xml:space="preserve"> spatial resolution</w:t>
      </w:r>
      <w:r w:rsidR="002124B5" w:rsidRPr="00EE3778">
        <w:rPr>
          <w:rFonts w:ascii="Times New Roman" w:hAnsi="Times New Roman"/>
          <w:szCs w:val="24"/>
        </w:rPr>
        <w:t xml:space="preserve">.  We sought to determine if significant viability is present in CTO perfusion territories. </w:t>
      </w:r>
    </w:p>
    <w:p w:rsidR="00680A68" w:rsidRPr="00EE3778" w:rsidRDefault="00EE3778" w:rsidP="00EE3778">
      <w:pPr>
        <w:jc w:val="both"/>
        <w:rPr>
          <w:rFonts w:ascii="Times New Roman" w:hAnsi="Times New Roman"/>
          <w:color w:val="000000"/>
          <w:szCs w:val="24"/>
        </w:rPr>
      </w:pPr>
      <w:r w:rsidRPr="00EE3778">
        <w:rPr>
          <w:rFonts w:ascii="Times New Roman" w:hAnsi="Times New Roman"/>
          <w:bCs/>
          <w:color w:val="000000"/>
          <w:szCs w:val="24"/>
        </w:rPr>
        <w:t>Methods</w:t>
      </w:r>
      <w:r w:rsidR="002124B5" w:rsidRPr="00EE3778">
        <w:rPr>
          <w:rFonts w:ascii="Times New Roman" w:hAnsi="Times New Roman"/>
          <w:bCs/>
          <w:color w:val="000000"/>
          <w:szCs w:val="24"/>
        </w:rPr>
        <w:t>:</w:t>
      </w:r>
      <w:r w:rsidR="00680A68" w:rsidRPr="00EE3778">
        <w:rPr>
          <w:rFonts w:ascii="Times New Roman" w:hAnsi="Times New Roman"/>
          <w:color w:val="000000"/>
          <w:szCs w:val="24"/>
        </w:rPr>
        <w:t xml:space="preserve"> We studied 50pts with 69 CTO territories (38 men</w:t>
      </w:r>
      <w:r w:rsidR="002124B5" w:rsidRPr="00EE3778">
        <w:rPr>
          <w:rFonts w:ascii="Times New Roman" w:hAnsi="Times New Roman"/>
          <w:color w:val="000000"/>
          <w:szCs w:val="24"/>
        </w:rPr>
        <w:t>; age 63</w:t>
      </w:r>
      <w:r w:rsidR="002124B5" w:rsidRPr="00EE3778">
        <w:rPr>
          <w:rFonts w:ascii="Times New Roman" w:hAnsi="Times New Roman"/>
          <w:color w:val="000000"/>
          <w:szCs w:val="24"/>
        </w:rPr>
        <w:sym w:font="Symbol" w:char="F0B1"/>
      </w:r>
      <w:r w:rsidR="002124B5" w:rsidRPr="00EE3778">
        <w:rPr>
          <w:rFonts w:ascii="Times New Roman" w:hAnsi="Times New Roman"/>
          <w:color w:val="000000"/>
          <w:szCs w:val="24"/>
        </w:rPr>
        <w:t>11 years; LVEF 47</w:t>
      </w:r>
      <w:r w:rsidR="002124B5" w:rsidRPr="00EE3778">
        <w:rPr>
          <w:rFonts w:ascii="Times New Roman" w:hAnsi="Times New Roman"/>
          <w:color w:val="000000"/>
          <w:szCs w:val="24"/>
        </w:rPr>
        <w:sym w:font="Symbol" w:char="F0B1"/>
      </w:r>
      <w:r w:rsidR="002124B5" w:rsidRPr="00EE3778">
        <w:rPr>
          <w:rFonts w:ascii="Times New Roman" w:hAnsi="Times New Roman"/>
          <w:color w:val="000000"/>
          <w:szCs w:val="24"/>
        </w:rPr>
        <w:t>18%.  All pts underwent baseline (BL) cine and DE-</w:t>
      </w:r>
      <w:r w:rsidR="00680A68" w:rsidRPr="00EE3778">
        <w:rPr>
          <w:rFonts w:ascii="Times New Roman" w:hAnsi="Times New Roman"/>
          <w:color w:val="000000"/>
          <w:szCs w:val="24"/>
        </w:rPr>
        <w:t>CMR</w:t>
      </w:r>
      <w:r w:rsidR="002124B5" w:rsidRPr="00EE3778">
        <w:rPr>
          <w:rFonts w:ascii="Times New Roman" w:hAnsi="Times New Roman"/>
          <w:color w:val="000000"/>
          <w:szCs w:val="24"/>
        </w:rPr>
        <w:t xml:space="preserve"> (10 minutes after 0.15 mmo</w:t>
      </w:r>
      <w:r w:rsidR="00680A68" w:rsidRPr="00EE3778">
        <w:rPr>
          <w:rFonts w:ascii="Times New Roman" w:hAnsi="Times New Roman"/>
          <w:color w:val="000000"/>
          <w:szCs w:val="24"/>
        </w:rPr>
        <w:t>l/kg gadolinium).  Cine and DE-CMR</w:t>
      </w:r>
      <w:r w:rsidR="002124B5" w:rsidRPr="00EE3778">
        <w:rPr>
          <w:rFonts w:ascii="Times New Roman" w:hAnsi="Times New Roman"/>
          <w:color w:val="000000"/>
          <w:szCs w:val="24"/>
        </w:rPr>
        <w:t xml:space="preserve"> were scored for regional wall thickening and amount of infarction; coronary angiograms were read for CTO perfusion territory and extent of c</w:t>
      </w:r>
      <w:r w:rsidR="00680A68" w:rsidRPr="00EE3778">
        <w:rPr>
          <w:rFonts w:ascii="Times New Roman" w:hAnsi="Times New Roman"/>
          <w:color w:val="000000"/>
          <w:szCs w:val="24"/>
        </w:rPr>
        <w:t xml:space="preserve">ollaterals using the </w:t>
      </w:r>
      <w:proofErr w:type="spellStart"/>
      <w:r w:rsidR="00680A68" w:rsidRPr="00EE3778">
        <w:rPr>
          <w:rFonts w:ascii="Times New Roman" w:hAnsi="Times New Roman"/>
          <w:color w:val="000000"/>
          <w:szCs w:val="24"/>
        </w:rPr>
        <w:t>Rentrop</w:t>
      </w:r>
      <w:proofErr w:type="spellEnd"/>
      <w:r w:rsidR="00680A68" w:rsidRPr="00EE3778">
        <w:rPr>
          <w:rFonts w:ascii="Times New Roman" w:hAnsi="Times New Roman"/>
          <w:color w:val="000000"/>
          <w:szCs w:val="24"/>
        </w:rPr>
        <w:t xml:space="preserve"> (4-</w:t>
      </w:r>
      <w:r w:rsidR="002124B5" w:rsidRPr="00EE3778">
        <w:rPr>
          <w:rFonts w:ascii="Times New Roman" w:hAnsi="Times New Roman"/>
          <w:color w:val="000000"/>
          <w:szCs w:val="24"/>
        </w:rPr>
        <w:t xml:space="preserve">point) scoring scheme.  </w:t>
      </w:r>
      <w:r w:rsidR="00680A68" w:rsidRPr="00EE3778">
        <w:rPr>
          <w:rFonts w:ascii="Times New Roman" w:hAnsi="Times New Roman"/>
          <w:color w:val="000000"/>
          <w:szCs w:val="24"/>
        </w:rPr>
        <w:t>To</w:t>
      </w:r>
      <w:r w:rsidR="002124B5" w:rsidRPr="00EE3778">
        <w:rPr>
          <w:rFonts w:ascii="Times New Roman" w:hAnsi="Times New Roman"/>
          <w:color w:val="000000"/>
          <w:szCs w:val="24"/>
        </w:rPr>
        <w:t xml:space="preserve"> determine if DE-</w:t>
      </w:r>
      <w:r w:rsidR="00680A68" w:rsidRPr="00EE3778">
        <w:rPr>
          <w:rFonts w:ascii="Times New Roman" w:hAnsi="Times New Roman"/>
          <w:color w:val="000000"/>
          <w:szCs w:val="24"/>
        </w:rPr>
        <w:t>CMR</w:t>
      </w:r>
      <w:r w:rsidR="002124B5" w:rsidRPr="00EE3778">
        <w:rPr>
          <w:rFonts w:ascii="Times New Roman" w:hAnsi="Times New Roman"/>
          <w:color w:val="000000"/>
          <w:szCs w:val="24"/>
        </w:rPr>
        <w:t xml:space="preserve"> findings predicted functional improvement, 21pts underwent f</w:t>
      </w:r>
      <w:r w:rsidR="00680A68" w:rsidRPr="00EE3778">
        <w:rPr>
          <w:rFonts w:ascii="Times New Roman" w:hAnsi="Times New Roman"/>
          <w:color w:val="000000"/>
          <w:szCs w:val="24"/>
        </w:rPr>
        <w:t>ollow-up (FU) cine-CMR</w:t>
      </w:r>
      <w:r w:rsidR="002124B5" w:rsidRPr="00EE3778">
        <w:rPr>
          <w:rFonts w:ascii="Times New Roman" w:hAnsi="Times New Roman"/>
          <w:color w:val="000000"/>
          <w:szCs w:val="24"/>
        </w:rPr>
        <w:t xml:space="preserve"> 3 months after revascularization. </w:t>
      </w:r>
    </w:p>
    <w:p w:rsidR="00680A68" w:rsidRPr="00EE3778" w:rsidRDefault="00EE3778" w:rsidP="00EE3778">
      <w:pPr>
        <w:jc w:val="both"/>
        <w:rPr>
          <w:rFonts w:ascii="Times New Roman" w:hAnsi="Times New Roman"/>
          <w:szCs w:val="24"/>
        </w:rPr>
      </w:pPr>
      <w:r w:rsidRPr="00EE3778">
        <w:rPr>
          <w:rFonts w:ascii="Times New Roman" w:hAnsi="Times New Roman"/>
          <w:bCs/>
          <w:color w:val="000000"/>
          <w:szCs w:val="24"/>
        </w:rPr>
        <w:t>Results</w:t>
      </w:r>
      <w:r w:rsidR="002124B5" w:rsidRPr="00EE3778">
        <w:rPr>
          <w:rFonts w:ascii="Times New Roman" w:hAnsi="Times New Roman"/>
          <w:bCs/>
          <w:color w:val="000000"/>
          <w:szCs w:val="24"/>
        </w:rPr>
        <w:t>:</w:t>
      </w:r>
      <w:r w:rsidR="002124B5" w:rsidRPr="00EE3778">
        <w:rPr>
          <w:rFonts w:ascii="Times New Roman" w:hAnsi="Times New Roman"/>
          <w:b/>
          <w:color w:val="000000"/>
          <w:szCs w:val="24"/>
        </w:rPr>
        <w:t xml:space="preserve"> </w:t>
      </w:r>
      <w:r w:rsidR="002124B5" w:rsidRPr="00EE3778">
        <w:rPr>
          <w:rFonts w:ascii="Times New Roman" w:hAnsi="Times New Roman"/>
          <w:szCs w:val="24"/>
        </w:rPr>
        <w:t>At baseline,</w:t>
      </w:r>
      <w:r w:rsidR="00680A68" w:rsidRPr="00EE3778">
        <w:rPr>
          <w:rFonts w:ascii="Times New Roman" w:hAnsi="Times New Roman"/>
          <w:szCs w:val="24"/>
        </w:rPr>
        <w:t xml:space="preserve"> of the 69 CTO territories, 27 (39%) had &gt;50% infarction while</w:t>
      </w:r>
      <w:r w:rsidR="002124B5" w:rsidRPr="00EE3778">
        <w:rPr>
          <w:rFonts w:ascii="Times New Roman" w:hAnsi="Times New Roman"/>
          <w:szCs w:val="24"/>
        </w:rPr>
        <w:t xml:space="preserve"> 42 (61%) had </w:t>
      </w:r>
      <w:r w:rsidR="002124B5" w:rsidRPr="00EE3778">
        <w:rPr>
          <w:rFonts w:ascii="Times New Roman" w:hAnsi="Times New Roman"/>
          <w:szCs w:val="24"/>
        </w:rPr>
        <w:sym w:font="Symbol" w:char="F0A3"/>
      </w:r>
      <w:r w:rsidR="002124B5" w:rsidRPr="00EE3778">
        <w:rPr>
          <w:rFonts w:ascii="Times New Roman" w:hAnsi="Times New Roman"/>
          <w:szCs w:val="24"/>
        </w:rPr>
        <w:t xml:space="preserve"> 50% infarction; furthermore 13 (19%) had no infarction</w:t>
      </w:r>
      <w:r w:rsidR="00680A68" w:rsidRPr="00EE3778">
        <w:rPr>
          <w:rFonts w:ascii="Times New Roman" w:hAnsi="Times New Roman"/>
          <w:szCs w:val="24"/>
        </w:rPr>
        <w:t>.</w:t>
      </w:r>
      <w:r w:rsidR="002124B5" w:rsidRPr="00EE3778">
        <w:rPr>
          <w:rFonts w:ascii="Times New Roman" w:hAnsi="Times New Roman"/>
          <w:szCs w:val="24"/>
        </w:rPr>
        <w:t xml:space="preserve">  At FU the presence of normal or improved contractile function in the 26 CTO territories that were revascularized was inversely related to the transmural extent of infarction (figure).  Extent of collateral flow did not relate to amount of viability at BL (p=0.90), or to improvement after revascularization (p=0.85).</w:t>
      </w:r>
    </w:p>
    <w:p w:rsidR="002124B5" w:rsidRPr="00EE3778" w:rsidRDefault="00EE3778" w:rsidP="00EE3778">
      <w:pPr>
        <w:jc w:val="both"/>
        <w:rPr>
          <w:szCs w:val="24"/>
        </w:rPr>
      </w:pPr>
      <w:r>
        <w:rPr>
          <w:noProof/>
          <w:szCs w:val="24"/>
          <w:lang w:bidi="he-IL"/>
        </w:rPr>
        <w:drawing>
          <wp:anchor distT="0" distB="0" distL="114300" distR="114300" simplePos="0" relativeHeight="251657728" behindDoc="0" locked="0" layoutInCell="1" allowOverlap="1">
            <wp:simplePos x="0" y="0"/>
            <wp:positionH relativeFrom="column">
              <wp:posOffset>622935</wp:posOffset>
            </wp:positionH>
            <wp:positionV relativeFrom="paragraph">
              <wp:posOffset>955040</wp:posOffset>
            </wp:positionV>
            <wp:extent cx="4679315" cy="2808605"/>
            <wp:effectExtent l="0" t="0" r="0" b="0"/>
            <wp:wrapTopAndBottom/>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2124B5" w:rsidRPr="00EE3778">
        <w:rPr>
          <w:rFonts w:ascii="Times New Roman" w:hAnsi="Times New Roman"/>
          <w:szCs w:val="24"/>
        </w:rPr>
        <w:fldChar w:fldCharType="begin"/>
      </w:r>
      <w:r w:rsidR="002124B5" w:rsidRPr="00EE3778">
        <w:rPr>
          <w:rFonts w:ascii="Times New Roman" w:hAnsi="Times New Roman"/>
          <w:szCs w:val="24"/>
        </w:rPr>
        <w:instrText>INCLUDEPICTURE  \d  \z "file://C:\\WINDOWS\\Desktop\\BB graph gif.gif"</w:instrText>
      </w:r>
      <w:r w:rsidR="002124B5" w:rsidRPr="00EE3778">
        <w:rPr>
          <w:rFonts w:ascii="Times New Roman" w:hAnsi="Times New Roman"/>
          <w:szCs w:val="24"/>
        </w:rPr>
        <w:fldChar w:fldCharType="separate"/>
      </w:r>
      <w:r w:rsidR="002124B5" w:rsidRPr="00EE3778">
        <w:rPr>
          <w:rFonts w:ascii="Times New Roman" w:hAnsi="Times New Roman"/>
          <w:szCs w:val="24"/>
        </w:rPr>
        <w:fldChar w:fldCharType="end"/>
      </w:r>
      <w:r w:rsidRPr="00EE3778">
        <w:rPr>
          <w:rFonts w:ascii="Times New Roman" w:hAnsi="Times New Roman"/>
          <w:szCs w:val="24"/>
        </w:rPr>
        <w:t>Conclusion</w:t>
      </w:r>
      <w:r w:rsidR="002124B5" w:rsidRPr="00EE3778">
        <w:rPr>
          <w:rFonts w:ascii="Times New Roman" w:hAnsi="Times New Roman"/>
          <w:szCs w:val="24"/>
        </w:rPr>
        <w:t xml:space="preserve">:  The majority of CTO territories have a significant amount of viable </w:t>
      </w:r>
      <w:r w:rsidR="00680A68" w:rsidRPr="00EE3778">
        <w:rPr>
          <w:rFonts w:ascii="Times New Roman" w:hAnsi="Times New Roman"/>
          <w:szCs w:val="24"/>
        </w:rPr>
        <w:t>myocardium detectable by DE-CMR</w:t>
      </w:r>
      <w:r w:rsidR="002124B5" w:rsidRPr="00EE3778">
        <w:rPr>
          <w:rFonts w:ascii="Times New Roman" w:hAnsi="Times New Roman"/>
          <w:szCs w:val="24"/>
        </w:rPr>
        <w:t>, independent of collateral flow grade.  These viable territories demonstrate functional improvement if myocardial blood supply is restored.</w:t>
      </w:r>
    </w:p>
    <w:sectPr w:rsidR="002124B5" w:rsidRPr="00EE3778" w:rsidSect="00EE3778">
      <w:headerReference w:type="default" r:id="rId8"/>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13" w:rsidRDefault="00721113" w:rsidP="00721113">
      <w:r>
        <w:separator/>
      </w:r>
    </w:p>
  </w:endnote>
  <w:endnote w:type="continuationSeparator" w:id="0">
    <w:p w:rsidR="00721113" w:rsidRDefault="00721113" w:rsidP="0072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13" w:rsidRDefault="00721113" w:rsidP="00721113">
      <w:r>
        <w:separator/>
      </w:r>
    </w:p>
  </w:footnote>
  <w:footnote w:type="continuationSeparator" w:id="0">
    <w:p w:rsidR="00721113" w:rsidRDefault="00721113" w:rsidP="0072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13" w:rsidRDefault="00721113" w:rsidP="00721113">
    <w:pPr>
      <w:pStyle w:val="Header"/>
    </w:pPr>
    <w:r>
      <w:t xml:space="preserve">1488, </w:t>
    </w:r>
    <w:r w:rsidR="00F0319F">
      <w:t>oral, cat: 11</w:t>
    </w:r>
  </w:p>
  <w:p w:rsidR="00721113" w:rsidRDefault="00721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69"/>
    <w:rsid w:val="002124B5"/>
    <w:rsid w:val="00477432"/>
    <w:rsid w:val="00680A68"/>
    <w:rsid w:val="00721113"/>
    <w:rsid w:val="00AF1C75"/>
    <w:rsid w:val="00EE3778"/>
    <w:rsid w:val="00F03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bidi="ar-SA"/>
    </w:rPr>
  </w:style>
  <w:style w:type="character" w:default="1" w:styleId="DefaultParagraphFont">
    <w:name w:val="Default Paragraph Font"/>
  </w:style>
  <w:style w:type="table" w:default="1" w:styleId="TableNormal">
    <w:name w:val="Normal Table"/>
    <w:semiHidden/>
    <w:rPr>
      <w:lang w:bidi="he-IL"/>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28"/>
    </w:rPr>
  </w:style>
  <w:style w:type="paragraph" w:styleId="Header">
    <w:name w:val="header"/>
    <w:basedOn w:val="Normal"/>
    <w:link w:val="HeaderChar"/>
    <w:uiPriority w:val="99"/>
    <w:unhideWhenUsed/>
    <w:rsid w:val="00721113"/>
    <w:pPr>
      <w:tabs>
        <w:tab w:val="center" w:pos="4320"/>
        <w:tab w:val="right" w:pos="8640"/>
      </w:tabs>
    </w:pPr>
  </w:style>
  <w:style w:type="character" w:customStyle="1" w:styleId="HeaderChar">
    <w:name w:val="Header Char"/>
    <w:basedOn w:val="DefaultParagraphFont"/>
    <w:link w:val="Header"/>
    <w:uiPriority w:val="99"/>
    <w:rsid w:val="00721113"/>
    <w:rPr>
      <w:sz w:val="24"/>
      <w:lang w:bidi="ar-SA"/>
    </w:rPr>
  </w:style>
  <w:style w:type="paragraph" w:styleId="Footer">
    <w:name w:val="footer"/>
    <w:basedOn w:val="Normal"/>
    <w:link w:val="FooterChar"/>
    <w:uiPriority w:val="99"/>
    <w:unhideWhenUsed/>
    <w:rsid w:val="00721113"/>
    <w:pPr>
      <w:tabs>
        <w:tab w:val="center" w:pos="4320"/>
        <w:tab w:val="right" w:pos="8640"/>
      </w:tabs>
    </w:pPr>
  </w:style>
  <w:style w:type="character" w:customStyle="1" w:styleId="FooterChar">
    <w:name w:val="Footer Char"/>
    <w:basedOn w:val="DefaultParagraphFont"/>
    <w:link w:val="Footer"/>
    <w:uiPriority w:val="99"/>
    <w:rsid w:val="00721113"/>
    <w:rPr>
      <w:sz w:val="24"/>
      <w:lang w:bidi="ar-SA"/>
    </w:rPr>
  </w:style>
  <w:style w:type="paragraph" w:styleId="BalloonText">
    <w:name w:val="Balloon Text"/>
    <w:basedOn w:val="Normal"/>
    <w:link w:val="BalloonTextChar"/>
    <w:uiPriority w:val="99"/>
    <w:semiHidden/>
    <w:unhideWhenUsed/>
    <w:rsid w:val="00721113"/>
    <w:rPr>
      <w:rFonts w:ascii="Tahoma" w:hAnsi="Tahoma" w:cs="Tahoma"/>
      <w:sz w:val="16"/>
      <w:szCs w:val="16"/>
    </w:rPr>
  </w:style>
  <w:style w:type="character" w:customStyle="1" w:styleId="BalloonTextChar">
    <w:name w:val="Balloon Text Char"/>
    <w:basedOn w:val="DefaultParagraphFont"/>
    <w:link w:val="BalloonText"/>
    <w:uiPriority w:val="99"/>
    <w:semiHidden/>
    <w:rsid w:val="00721113"/>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bidi="ar-SA"/>
    </w:rPr>
  </w:style>
  <w:style w:type="character" w:default="1" w:styleId="DefaultParagraphFont">
    <w:name w:val="Default Paragraph Font"/>
  </w:style>
  <w:style w:type="table" w:default="1" w:styleId="TableNormal">
    <w:name w:val="Normal Table"/>
    <w:semiHidden/>
    <w:rPr>
      <w:lang w:bidi="he-IL"/>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28"/>
    </w:rPr>
  </w:style>
  <w:style w:type="paragraph" w:styleId="Header">
    <w:name w:val="header"/>
    <w:basedOn w:val="Normal"/>
    <w:link w:val="HeaderChar"/>
    <w:uiPriority w:val="99"/>
    <w:unhideWhenUsed/>
    <w:rsid w:val="00721113"/>
    <w:pPr>
      <w:tabs>
        <w:tab w:val="center" w:pos="4320"/>
        <w:tab w:val="right" w:pos="8640"/>
      </w:tabs>
    </w:pPr>
  </w:style>
  <w:style w:type="character" w:customStyle="1" w:styleId="HeaderChar">
    <w:name w:val="Header Char"/>
    <w:basedOn w:val="DefaultParagraphFont"/>
    <w:link w:val="Header"/>
    <w:uiPriority w:val="99"/>
    <w:rsid w:val="00721113"/>
    <w:rPr>
      <w:sz w:val="24"/>
      <w:lang w:bidi="ar-SA"/>
    </w:rPr>
  </w:style>
  <w:style w:type="paragraph" w:styleId="Footer">
    <w:name w:val="footer"/>
    <w:basedOn w:val="Normal"/>
    <w:link w:val="FooterChar"/>
    <w:uiPriority w:val="99"/>
    <w:unhideWhenUsed/>
    <w:rsid w:val="00721113"/>
    <w:pPr>
      <w:tabs>
        <w:tab w:val="center" w:pos="4320"/>
        <w:tab w:val="right" w:pos="8640"/>
      </w:tabs>
    </w:pPr>
  </w:style>
  <w:style w:type="character" w:customStyle="1" w:styleId="FooterChar">
    <w:name w:val="Footer Char"/>
    <w:basedOn w:val="DefaultParagraphFont"/>
    <w:link w:val="Footer"/>
    <w:uiPriority w:val="99"/>
    <w:rsid w:val="00721113"/>
    <w:rPr>
      <w:sz w:val="24"/>
      <w:lang w:bidi="ar-SA"/>
    </w:rPr>
  </w:style>
  <w:style w:type="paragraph" w:styleId="BalloonText">
    <w:name w:val="Balloon Text"/>
    <w:basedOn w:val="Normal"/>
    <w:link w:val="BalloonTextChar"/>
    <w:uiPriority w:val="99"/>
    <w:semiHidden/>
    <w:unhideWhenUsed/>
    <w:rsid w:val="00721113"/>
    <w:rPr>
      <w:rFonts w:ascii="Tahoma" w:hAnsi="Tahoma" w:cs="Tahoma"/>
      <w:sz w:val="16"/>
      <w:szCs w:val="16"/>
    </w:rPr>
  </w:style>
  <w:style w:type="character" w:customStyle="1" w:styleId="BalloonTextChar">
    <w:name w:val="Balloon Text Char"/>
    <w:basedOn w:val="DefaultParagraphFont"/>
    <w:link w:val="BalloonText"/>
    <w:uiPriority w:val="99"/>
    <w:semiHidden/>
    <w:rsid w:val="00721113"/>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0997920997920999"/>
          <c:y val="4.912280701754386E-2"/>
          <c:w val="0.76715176715176714"/>
          <c:h val="0.7192982456140351"/>
        </c:manualLayout>
      </c:layout>
      <c:bar3DChart>
        <c:barDir val="col"/>
        <c:grouping val="clustered"/>
        <c:varyColors val="0"/>
        <c:ser>
          <c:idx val="0"/>
          <c:order val="0"/>
          <c:tx>
            <c:strRef>
              <c:f>Sheet1!$A$2</c:f>
              <c:strCache>
                <c:ptCount val="1"/>
                <c:pt idx="0">
                  <c:v>East</c:v>
                </c:pt>
              </c:strCache>
            </c:strRef>
          </c:tx>
          <c:spPr>
            <a:solidFill>
              <a:srgbClr val="333333"/>
            </a:solidFill>
            <a:ln w="12695">
              <a:solidFill>
                <a:srgbClr val="000000"/>
              </a:solidFill>
              <a:prstDash val="solid"/>
            </a:ln>
          </c:spPr>
          <c:invertIfNegative val="0"/>
          <c:dLbls>
            <c:dLbl>
              <c:idx val="0"/>
              <c:layout>
                <c:manualLayout>
                  <c:x val="2.015174311339939E-2"/>
                  <c:y val="-5.1901353544009507E-3"/>
                </c:manualLayout>
              </c:layout>
              <c:tx>
                <c:rich>
                  <a:bodyPr/>
                  <a:lstStyle/>
                  <a:p>
                    <a:r>
                      <a:rPr lang="en-US"/>
                      <a:t>41 of 45</a:t>
                    </a:r>
                  </a:p>
                </c:rich>
              </c:tx>
              <c:showLegendKey val="0"/>
              <c:showVal val="0"/>
              <c:showCatName val="0"/>
              <c:showSerName val="0"/>
              <c:showPercent val="0"/>
              <c:showBubbleSize val="0"/>
            </c:dLbl>
            <c:dLbl>
              <c:idx val="1"/>
              <c:layout>
                <c:manualLayout>
                  <c:x val="2.4019947466553317E-2"/>
                  <c:y val="-3.0949494381891131E-3"/>
                </c:manualLayout>
              </c:layout>
              <c:tx>
                <c:rich>
                  <a:bodyPr/>
                  <a:lstStyle/>
                  <a:p>
                    <a:r>
                      <a:rPr lang="en-US"/>
                      <a:t>12 of 17</a:t>
                    </a:r>
                  </a:p>
                </c:rich>
              </c:tx>
              <c:showLegendKey val="0"/>
              <c:showVal val="0"/>
              <c:showCatName val="0"/>
              <c:showSerName val="0"/>
              <c:showPercent val="0"/>
              <c:showBubbleSize val="0"/>
            </c:dLbl>
            <c:dLbl>
              <c:idx val="2"/>
              <c:layout>
                <c:manualLayout>
                  <c:x val="2.4408627980320032E-2"/>
                  <c:y val="-3.3883133029424129E-3"/>
                </c:manualLayout>
              </c:layout>
              <c:tx>
                <c:rich>
                  <a:bodyPr/>
                  <a:lstStyle/>
                  <a:p>
                    <a:r>
                      <a:rPr lang="en-US"/>
                      <a:t>9 of 19</a:t>
                    </a:r>
                  </a:p>
                </c:rich>
              </c:tx>
              <c:showLegendKey val="0"/>
              <c:showVal val="0"/>
              <c:showCatName val="0"/>
              <c:showSerName val="0"/>
              <c:showPercent val="0"/>
              <c:showBubbleSize val="0"/>
            </c:dLbl>
            <c:dLbl>
              <c:idx val="3"/>
              <c:layout>
                <c:manualLayout>
                  <c:x val="1.5124339540844592E-2"/>
                  <c:y val="8.1447713772618178E-4"/>
                </c:manualLayout>
              </c:layout>
              <c:tx>
                <c:rich>
                  <a:bodyPr/>
                  <a:lstStyle/>
                  <a:p>
                    <a:r>
                      <a:rPr lang="en-US"/>
                      <a:t>13 of 37</a:t>
                    </a:r>
                  </a:p>
                </c:rich>
              </c:tx>
              <c:showLegendKey val="0"/>
              <c:showVal val="0"/>
              <c:showCatName val="0"/>
              <c:showSerName val="0"/>
              <c:showPercent val="0"/>
              <c:showBubbleSize val="0"/>
            </c:dLbl>
            <c:dLbl>
              <c:idx val="4"/>
              <c:layout>
                <c:manualLayout>
                  <c:x val="2.5908030449621703E-2"/>
                  <c:y val="2.7626252338440274E-3"/>
                </c:manualLayout>
              </c:layout>
              <c:tx>
                <c:rich>
                  <a:bodyPr/>
                  <a:lstStyle/>
                  <a:p>
                    <a:r>
                      <a:rPr lang="en-US"/>
                      <a:t>0 of 12</a:t>
                    </a:r>
                  </a:p>
                </c:rich>
              </c:tx>
              <c:showLegendKey val="0"/>
              <c:showVal val="0"/>
              <c:showCatName val="0"/>
              <c:showSerName val="0"/>
              <c:showPercent val="0"/>
              <c:showBubbleSize val="0"/>
            </c:dLbl>
            <c:spPr>
              <a:noFill/>
              <a:ln w="25389">
                <a:noFill/>
              </a:ln>
            </c:spPr>
            <c:txPr>
              <a:bodyPr/>
              <a:lstStyle/>
              <a:p>
                <a:pPr algn="ctr" rtl="0">
                  <a:defRPr sz="1125" b="1" i="0" u="none" strike="noStrike" baseline="0">
                    <a:solidFill>
                      <a:srgbClr val="000000"/>
                    </a:solidFill>
                    <a:latin typeface="Times"/>
                    <a:ea typeface="Times"/>
                    <a:cs typeface="Times"/>
                  </a:defRPr>
                </a:pPr>
                <a:endParaRPr lang="en-US"/>
              </a:p>
            </c:txPr>
            <c:showLegendKey val="0"/>
            <c:showVal val="1"/>
            <c:showCatName val="0"/>
            <c:showSerName val="0"/>
            <c:showPercent val="0"/>
            <c:showBubbleSize val="0"/>
            <c:showLeaderLines val="0"/>
          </c:dLbls>
          <c:cat>
            <c:strRef>
              <c:f>Sheet1!$B$1:$F$1</c:f>
              <c:strCache>
                <c:ptCount val="5"/>
                <c:pt idx="0">
                  <c:v>0</c:v>
                </c:pt>
                <c:pt idx="1">
                  <c:v>1-25%</c:v>
                </c:pt>
                <c:pt idx="2">
                  <c:v>26-50%</c:v>
                </c:pt>
                <c:pt idx="3">
                  <c:v>51-75%</c:v>
                </c:pt>
                <c:pt idx="4">
                  <c:v>76-100%</c:v>
                </c:pt>
              </c:strCache>
            </c:strRef>
          </c:cat>
          <c:val>
            <c:numRef>
              <c:f>Sheet1!$B$2:$F$2</c:f>
              <c:numCache>
                <c:formatCode>General</c:formatCode>
                <c:ptCount val="5"/>
                <c:pt idx="0">
                  <c:v>91</c:v>
                </c:pt>
                <c:pt idx="1">
                  <c:v>71</c:v>
                </c:pt>
                <c:pt idx="2">
                  <c:v>47</c:v>
                </c:pt>
                <c:pt idx="3">
                  <c:v>32</c:v>
                </c:pt>
                <c:pt idx="4">
                  <c:v>0</c:v>
                </c:pt>
              </c:numCache>
            </c:numRef>
          </c:val>
        </c:ser>
        <c:dLbls>
          <c:showLegendKey val="0"/>
          <c:showVal val="1"/>
          <c:showCatName val="0"/>
          <c:showSerName val="0"/>
          <c:showPercent val="0"/>
          <c:showBubbleSize val="0"/>
        </c:dLbls>
        <c:gapWidth val="150"/>
        <c:gapDepth val="0"/>
        <c:shape val="box"/>
        <c:axId val="59701504"/>
        <c:axId val="75171328"/>
        <c:axId val="0"/>
      </c:bar3DChart>
      <c:catAx>
        <c:axId val="59701504"/>
        <c:scaling>
          <c:orientation val="minMax"/>
        </c:scaling>
        <c:delete val="0"/>
        <c:axPos val="b"/>
        <c:title>
          <c:tx>
            <c:rich>
              <a:bodyPr/>
              <a:lstStyle/>
              <a:p>
                <a:pPr>
                  <a:defRPr sz="1125" b="1" i="0" u="none" strike="noStrike" baseline="0">
                    <a:solidFill>
                      <a:srgbClr val="000000"/>
                    </a:solidFill>
                    <a:latin typeface="Times"/>
                    <a:ea typeface="Times"/>
                    <a:cs typeface="Times"/>
                  </a:defRPr>
                </a:pPr>
                <a:r>
                  <a:rPr lang="en-US"/>
                  <a:t>Extent of Infarction In CTO Territory</a:t>
                </a:r>
              </a:p>
            </c:rich>
          </c:tx>
          <c:layout>
            <c:manualLayout>
              <c:xMode val="edge"/>
              <c:yMode val="edge"/>
              <c:x val="0.32432432432432434"/>
              <c:y val="0.86315789473684212"/>
            </c:manualLayout>
          </c:layout>
          <c:overlay val="0"/>
          <c:spPr>
            <a:noFill/>
            <a:ln w="25389">
              <a:noFill/>
            </a:ln>
          </c:spPr>
        </c:title>
        <c:numFmt formatCode="General" sourceLinked="1"/>
        <c:majorTickMark val="out"/>
        <c:minorTickMark val="none"/>
        <c:tickLblPos val="low"/>
        <c:spPr>
          <a:ln w="3174">
            <a:solidFill>
              <a:srgbClr val="000000"/>
            </a:solidFill>
            <a:prstDash val="solid"/>
          </a:ln>
        </c:spPr>
        <c:txPr>
          <a:bodyPr rot="0" vert="horz"/>
          <a:lstStyle/>
          <a:p>
            <a:pPr>
              <a:defRPr sz="1125" b="1" i="0" u="none" strike="noStrike" baseline="0">
                <a:solidFill>
                  <a:srgbClr val="000000"/>
                </a:solidFill>
                <a:latin typeface="Times"/>
                <a:ea typeface="Times"/>
                <a:cs typeface="Times"/>
              </a:defRPr>
            </a:pPr>
            <a:endParaRPr lang="en-US"/>
          </a:p>
        </c:txPr>
        <c:crossAx val="75171328"/>
        <c:crosses val="autoZero"/>
        <c:auto val="1"/>
        <c:lblAlgn val="ctr"/>
        <c:lblOffset val="100"/>
        <c:tickLblSkip val="1"/>
        <c:tickMarkSkip val="1"/>
        <c:noMultiLvlLbl val="0"/>
      </c:catAx>
      <c:valAx>
        <c:axId val="75171328"/>
        <c:scaling>
          <c:orientation val="minMax"/>
          <c:max val="100"/>
        </c:scaling>
        <c:delete val="0"/>
        <c:axPos val="l"/>
        <c:title>
          <c:tx>
            <c:rich>
              <a:bodyPr/>
              <a:lstStyle/>
              <a:p>
                <a:pPr>
                  <a:defRPr sz="1100" b="1" i="0" u="none" strike="noStrike" baseline="0">
                    <a:solidFill>
                      <a:srgbClr val="000000"/>
                    </a:solidFill>
                    <a:latin typeface="Times"/>
                    <a:ea typeface="Times"/>
                    <a:cs typeface="Times"/>
                  </a:defRPr>
                </a:pPr>
                <a:r>
                  <a:rPr lang="en-US"/>
                  <a:t>Normal or Improved Regional Function After Revascularization</a:t>
                </a:r>
              </a:p>
            </c:rich>
          </c:tx>
          <c:layout>
            <c:manualLayout>
              <c:xMode val="edge"/>
              <c:yMode val="edge"/>
              <c:x val="4.5738045738045741E-2"/>
              <c:y val="0.12631578947368421"/>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25" b="1" i="0" u="none" strike="noStrike" baseline="0">
                <a:solidFill>
                  <a:srgbClr val="000000"/>
                </a:solidFill>
                <a:latin typeface="Times"/>
                <a:ea typeface="Times"/>
                <a:cs typeface="Times"/>
              </a:defRPr>
            </a:pPr>
            <a:endParaRPr lang="en-US"/>
          </a:p>
        </c:txPr>
        <c:crossAx val="59701504"/>
        <c:crosses val="autoZero"/>
        <c:crossBetween val="between"/>
        <c:majorUnit val="20"/>
      </c:valAx>
      <c:spPr>
        <a:noFill/>
        <a:ln w="25389">
          <a:noFill/>
        </a:ln>
      </c:spPr>
    </c:plotArea>
    <c:plotVisOnly val="1"/>
    <c:dispBlanksAs val="gap"/>
    <c:showDLblsOverMax val="0"/>
  </c:chart>
  <c:spPr>
    <a:noFill/>
    <a:ln>
      <a:noFill/>
    </a:ln>
  </c:spPr>
  <c:txPr>
    <a:bodyPr/>
    <a:lstStyle/>
    <a:p>
      <a:pPr>
        <a:defRPr sz="1075" b="1" i="0" u="none" strike="noStrike" baseline="0">
          <a:solidFill>
            <a:srgbClr val="000000"/>
          </a:solidFill>
          <a:latin typeface="Times"/>
          <a:ea typeface="Times"/>
          <a:cs typeface="Time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37DD6538</Template>
  <TotalTime>4</TotalTime>
  <Pages>1</Pages>
  <Words>271</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Background: Beta-blocker therapy (BBT) is known to improve contractile function (CF) in heart failure (HF) pts, however the res</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Beta-blocker therapy (BBT) is known to improve contractile function (CF) in heart failure (HF) pts, however the res</dc:title>
  <dc:creator>Robert M. Judd</dc:creator>
  <cp:lastModifiedBy>Target</cp:lastModifiedBy>
  <cp:revision>3</cp:revision>
  <cp:lastPrinted>2003-05-30T08:22:00Z</cp:lastPrinted>
  <dcterms:created xsi:type="dcterms:W3CDTF">2012-05-03T07:08:00Z</dcterms:created>
  <dcterms:modified xsi:type="dcterms:W3CDTF">2012-05-03T07:11:00Z</dcterms:modified>
</cp:coreProperties>
</file>